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C8E" w:rsidRPr="009203C9" w:rsidRDefault="005F2DDF">
      <w:pPr>
        <w:widowControl w:val="0"/>
        <w:autoSpaceDE w:val="0"/>
        <w:autoSpaceDN w:val="0"/>
        <w:adjustRightInd w:val="0"/>
        <w:spacing w:after="240" w:line="360" w:lineRule="auto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УДК 661.961.6</w:t>
      </w:r>
      <w:bookmarkStart w:id="0" w:name="_GoBack"/>
      <w:bookmarkEnd w:id="0"/>
      <w:r w:rsidRPr="009203C9">
        <w:rPr>
          <w:rFonts w:ascii="Times New Roman" w:hAnsi="Times New Roman" w:cs="Times New Roman"/>
          <w:sz w:val="24"/>
          <w:szCs w:val="24"/>
        </w:rPr>
        <w:t>2</w:t>
      </w:r>
    </w:p>
    <w:p w:rsidR="00DF7C8E" w:rsidRPr="009203C9" w:rsidRDefault="005227B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Анализ перспективных схем двухходовых высокотемпературных реакторов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9203C9">
        <w:rPr>
          <w:rFonts w:ascii="Times New Roman" w:hAnsi="Times New Roman" w:cs="Times New Roman"/>
          <w:sz w:val="24"/>
          <w:szCs w:val="24"/>
          <w:u w:val="single"/>
        </w:rPr>
        <w:t>Цыганова В.Д.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9203C9">
        <w:rPr>
          <w:rFonts w:ascii="Times New Roman" w:hAnsi="Times New Roman" w:cs="Times New Roman"/>
          <w:sz w:val="24"/>
          <w:szCs w:val="24"/>
          <w:u w:val="single"/>
        </w:rPr>
        <w:t>Научный руководитель – ст. преподаватель Савченко Г.Б.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240" w:line="36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9203C9">
        <w:rPr>
          <w:rFonts w:ascii="Times New Roman" w:hAnsi="Times New Roman" w:cs="Times New Roman"/>
          <w:i/>
          <w:iCs/>
          <w:sz w:val="24"/>
          <w:szCs w:val="24"/>
        </w:rPr>
        <w:t>Балтийский государственный технический университет «ВОЕНМЕХ» им. Д.Ф. Устинова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Ввиду все большей распространенности беспилотных летательных аппаратов (БПЛА) на топливных элементах (ТЭ) для заправки бортовых газовых баллонов была разработана принципиальная схема мобильного заправочного комплекса (МЗК) получения водорода. В основу такого типа установок положена технология двухступенчатого получения водородсодержащего газа </w:t>
      </w:r>
      <w:r w:rsidR="005B5909" w:rsidRPr="009203C9">
        <w:rPr>
          <w:rFonts w:ascii="Times New Roman" w:hAnsi="Times New Roman" w:cs="Times New Roman"/>
          <w:sz w:val="24"/>
          <w:szCs w:val="24"/>
        </w:rPr>
        <w:t>путем</w:t>
      </w:r>
      <w:r w:rsidRPr="009203C9">
        <w:rPr>
          <w:rFonts w:ascii="Times New Roman" w:hAnsi="Times New Roman" w:cs="Times New Roman"/>
          <w:sz w:val="24"/>
          <w:szCs w:val="24"/>
        </w:rPr>
        <w:t xml:space="preserve"> парциального окисления </w:t>
      </w:r>
      <w:r w:rsidR="005B5909" w:rsidRPr="009203C9">
        <w:rPr>
          <w:rFonts w:ascii="Times New Roman" w:hAnsi="Times New Roman" w:cs="Times New Roman"/>
          <w:sz w:val="24"/>
          <w:szCs w:val="24"/>
        </w:rPr>
        <w:t xml:space="preserve">сырья </w:t>
      </w:r>
      <w:r w:rsidRPr="009203C9">
        <w:rPr>
          <w:rFonts w:ascii="Times New Roman" w:hAnsi="Times New Roman" w:cs="Times New Roman"/>
          <w:sz w:val="24"/>
          <w:szCs w:val="24"/>
        </w:rPr>
        <w:t xml:space="preserve">и последующей паровой каталитической конверсии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монооксида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углерода СО. Основным конструктивным узлом установки является высокотемпературный реактор (ВТР).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Чтобы упростить, а в перспективе – частично автоматизировать процесс проектирования ВТР, с опорой на разработанный под конкретную задачу МЗК ранее был создан обобщенный алгоритм проектирования</w:t>
      </w:r>
      <w:r w:rsidRPr="009203C9">
        <w:rPr>
          <w:rFonts w:ascii="Times New Roman" w:hAnsi="Times New Roman" w:cs="Times New Roman"/>
        </w:rPr>
        <w:t xml:space="preserve"> </w:t>
      </w:r>
      <w:r w:rsidRPr="009203C9">
        <w:rPr>
          <w:rFonts w:ascii="Times New Roman" w:hAnsi="Times New Roman" w:cs="Times New Roman"/>
          <w:sz w:val="24"/>
          <w:szCs w:val="24"/>
        </w:rPr>
        <w:t xml:space="preserve">[1,2]. 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На основе полученного алгоритма был проведен поиск технических решения по совершенствованию </w:t>
      </w:r>
      <w:r w:rsidR="005B5909" w:rsidRPr="009203C9">
        <w:rPr>
          <w:rFonts w:ascii="Times New Roman" w:hAnsi="Times New Roman" w:cs="Times New Roman"/>
          <w:sz w:val="24"/>
          <w:szCs w:val="24"/>
        </w:rPr>
        <w:t xml:space="preserve">отдельных узлов установки </w:t>
      </w:r>
      <w:r w:rsidRPr="009203C9">
        <w:rPr>
          <w:rFonts w:ascii="Times New Roman" w:hAnsi="Times New Roman" w:cs="Times New Roman"/>
          <w:sz w:val="24"/>
          <w:szCs w:val="24"/>
        </w:rPr>
        <w:t>[3, 4, 5]. Среди основных целей стояло снижение массы и габаритов оборудования, что является важным фактором для обеспечения мобильности и скрытности всего комплекса.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Для решения указанной задачи среди прочего предлагается внедрение ВТР новой конструкции </w:t>
      </w:r>
      <w:r w:rsidRPr="009203C9">
        <w:rPr>
          <w:rFonts w:ascii="Times New Roman" w:hAnsi="Times New Roman" w:cs="Times New Roman"/>
          <w:sz w:val="28"/>
          <w:szCs w:val="28"/>
        </w:rPr>
        <w:t xml:space="preserve">– </w:t>
      </w:r>
      <w:r w:rsidRPr="009203C9">
        <w:rPr>
          <w:rFonts w:ascii="Times New Roman" w:hAnsi="Times New Roman" w:cs="Times New Roman"/>
          <w:sz w:val="24"/>
          <w:szCs w:val="24"/>
        </w:rPr>
        <w:t xml:space="preserve">многоходовой (коаксиальной), которая является развитием известной конструкции по патенту RU №2521377 С2 [6]. Принципиальная схема предлагаемого многоходового ВТР представлена на рисунке 1, а пример традиционного последовательного реактора для сравнения изображен на рисунке 2. </w:t>
      </w:r>
    </w:p>
    <w:tbl>
      <w:tblPr>
        <w:tblW w:w="0" w:type="auto"/>
        <w:tblInd w:w="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5"/>
        <w:gridCol w:w="3956"/>
      </w:tblGrid>
      <w:tr w:rsidR="003E00E2" w:rsidRPr="009203C9" w:rsidTr="009203C9">
        <w:trPr>
          <w:trHeight w:val="5376"/>
        </w:trPr>
        <w:tc>
          <w:tcPr>
            <w:tcW w:w="5675" w:type="dxa"/>
            <w:shd w:val="clear" w:color="000000" w:fill="FFFFFF"/>
            <w:vAlign w:val="center"/>
          </w:tcPr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9203C9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>
                  <wp:extent cx="3571875" cy="3081003"/>
                  <wp:effectExtent l="0" t="0" r="0" b="571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0565" cy="3088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56" w:type="dxa"/>
            <w:shd w:val="clear" w:color="000000" w:fill="FFFFFF"/>
            <w:vAlign w:val="center"/>
          </w:tcPr>
          <w:p w:rsidR="00DF7C8E" w:rsidRPr="009203C9" w:rsidRDefault="005F2DDF" w:rsidP="007902D6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9203C9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826890" cy="2172843"/>
                  <wp:effectExtent l="7937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923018" cy="2227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00E2" w:rsidRPr="009203C9" w:rsidTr="009203C9">
        <w:trPr>
          <w:trHeight w:val="832"/>
        </w:trPr>
        <w:tc>
          <w:tcPr>
            <w:tcW w:w="5675" w:type="dxa"/>
            <w:shd w:val="clear" w:color="000000" w:fill="FFFFFF"/>
            <w:vAlign w:val="center"/>
          </w:tcPr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firstLine="22"/>
              <w:jc w:val="center"/>
              <w:rPr>
                <w:rFonts w:ascii="Times New Roman" w:hAnsi="Times New Roman" w:cs="Times New Roman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Рисунок</w:t>
            </w:r>
            <w:r w:rsidR="007902D6"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 1</w:t>
            </w: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 – Схема многоходового (коаксиального) ВТР</w:t>
            </w:r>
          </w:p>
        </w:tc>
        <w:tc>
          <w:tcPr>
            <w:tcW w:w="3956" w:type="dxa"/>
            <w:shd w:val="clear" w:color="000000" w:fill="FFFFFF"/>
            <w:vAlign w:val="center"/>
          </w:tcPr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firstLine="35"/>
              <w:jc w:val="center"/>
              <w:rPr>
                <w:rFonts w:ascii="Times New Roman" w:hAnsi="Times New Roman" w:cs="Times New Roman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Рисунок </w:t>
            </w:r>
            <w:r w:rsidR="007902D6" w:rsidRPr="009203C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 – ВТР традиционной последовательной конструкци</w:t>
            </w:r>
            <w:r w:rsidR="007902D6" w:rsidRPr="009203C9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</w:tr>
    </w:tbl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Традиционный ВТР состоит из последовательно расположенных охлаждаемых камеры сгорания (КС), блока впрыска продуктовой воды и испарительной камеры (ИК). Впрыск воды необходим для снижения температуры газа до рабочей температуры блока конверсии, а также для увлажнения газа – с целью обеспечения условий для </w:t>
      </w:r>
      <w:r w:rsidR="007902D6" w:rsidRPr="009203C9">
        <w:rPr>
          <w:rFonts w:ascii="Times New Roman" w:hAnsi="Times New Roman" w:cs="Times New Roman"/>
          <w:sz w:val="24"/>
          <w:szCs w:val="24"/>
        </w:rPr>
        <w:t xml:space="preserve">последующего </w:t>
      </w:r>
      <w:r w:rsidRPr="009203C9">
        <w:rPr>
          <w:rFonts w:ascii="Times New Roman" w:hAnsi="Times New Roman" w:cs="Times New Roman"/>
          <w:sz w:val="24"/>
          <w:szCs w:val="24"/>
        </w:rPr>
        <w:t>проведения паровой конверсии.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В предлагаемой конструкции КС и ИК расположены не последовательно, а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концентрически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, разделение камер обеспечивается цилиндрическим вкладышем. Такая схема позволяет резко уменьшить продольные габариты ВТР и получить </w:t>
      </w:r>
      <w:r w:rsidR="0081430B" w:rsidRPr="009203C9">
        <w:rPr>
          <w:rFonts w:ascii="Times New Roman" w:hAnsi="Times New Roman" w:cs="Times New Roman"/>
          <w:sz w:val="24"/>
          <w:szCs w:val="24"/>
        </w:rPr>
        <w:t>ряд дополнительных преимуществ.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При детальной проработке конструкции коаксиального двухходового ВТР необходимо обратить внимание на следующий ряд факторов:</w:t>
      </w:r>
    </w:p>
    <w:p w:rsidR="00DF7C8E" w:rsidRPr="009203C9" w:rsidRDefault="005F2DDF" w:rsidP="005B5909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необходимость охлаждения разделительной стенки между КС и вторым ходом реактора - </w:t>
      </w:r>
      <w:r w:rsidR="0081430B" w:rsidRPr="009203C9">
        <w:rPr>
          <w:rFonts w:ascii="Times New Roman" w:hAnsi="Times New Roman" w:cs="Times New Roman"/>
          <w:sz w:val="24"/>
          <w:szCs w:val="24"/>
        </w:rPr>
        <w:t>ИК</w:t>
      </w:r>
      <w:r w:rsidRPr="009203C9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F7C8E" w:rsidRPr="009203C9" w:rsidRDefault="005F2DDF" w:rsidP="005B5909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строгую связь количества потребной продуктовой воды с расходом и соотношением основных компонентов;</w:t>
      </w:r>
    </w:p>
    <w:p w:rsidR="00DF7C8E" w:rsidRPr="009203C9" w:rsidRDefault="005F2DDF" w:rsidP="005B5909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lastRenderedPageBreak/>
        <w:t xml:space="preserve">высокую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теплонапряженность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днища ВТР;</w:t>
      </w:r>
    </w:p>
    <w:p w:rsidR="00DF7C8E" w:rsidRPr="009203C9" w:rsidRDefault="005F2DDF" w:rsidP="005B5909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разворот потока продуктов сгорания (ПС) на 180 градусов при переходе из КС в ИК;</w:t>
      </w:r>
    </w:p>
    <w:p w:rsidR="00DF7C8E" w:rsidRPr="009203C9" w:rsidRDefault="005F2DDF" w:rsidP="005B5909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интенсивное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сажеобразование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в реакторе, связанное с работой на </w:t>
      </w:r>
      <w:r w:rsidR="0081430B" w:rsidRPr="009203C9">
        <w:rPr>
          <w:rFonts w:ascii="Times New Roman" w:hAnsi="Times New Roman" w:cs="Times New Roman"/>
          <w:sz w:val="24"/>
          <w:szCs w:val="24"/>
        </w:rPr>
        <w:t>богатых</w:t>
      </w:r>
      <w:r w:rsidRPr="009203C9">
        <w:rPr>
          <w:rFonts w:ascii="Times New Roman" w:hAnsi="Times New Roman" w:cs="Times New Roman"/>
          <w:sz w:val="24"/>
          <w:szCs w:val="24"/>
        </w:rPr>
        <w:t xml:space="preserve"> горючим смесях, и возможность скопления сажи в застойных зонах.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На основе анализа этих факторов был предложен ряд конструктивных решений.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В классическом варианте последовательного ВТР охлаждение стенок осуществляется проточной водой по т.н. «рубашке охлаждения». Причем, для подачи воды охлаждения требуется отдельный контур с насосом, баком и градирней.</w:t>
      </w:r>
    </w:p>
    <w:p w:rsidR="008A7E02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Температура на выходе из испарительной камеры по условию работоспособности блока конве</w:t>
      </w:r>
      <w:r w:rsidR="008A7E02" w:rsidRPr="009203C9">
        <w:rPr>
          <w:rFonts w:ascii="Times New Roman" w:hAnsi="Times New Roman" w:cs="Times New Roman"/>
          <w:sz w:val="24"/>
          <w:szCs w:val="24"/>
        </w:rPr>
        <w:t>рсии СО не должна превышать 650</w:t>
      </w:r>
      <w:r w:rsidRPr="009203C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9203C9">
        <w:rPr>
          <w:rFonts w:ascii="Times New Roman" w:hAnsi="Times New Roman" w:cs="Times New Roman"/>
          <w:sz w:val="24"/>
          <w:szCs w:val="24"/>
        </w:rPr>
        <w:t>С, т.е. для неё можно использовать обычные жаростойкие стали, без охлаждения стенок. Но в КС температура достигает 2000</w:t>
      </w:r>
      <w:r w:rsidRPr="009203C9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9203C9">
        <w:rPr>
          <w:rFonts w:ascii="Times New Roman" w:hAnsi="Times New Roman" w:cs="Times New Roman"/>
          <w:sz w:val="24"/>
          <w:szCs w:val="24"/>
        </w:rPr>
        <w:t>С</w:t>
      </w:r>
      <w:r w:rsidR="008A7E02" w:rsidRPr="009203C9">
        <w:rPr>
          <w:rFonts w:ascii="Times New Roman" w:hAnsi="Times New Roman" w:cs="Times New Roman"/>
          <w:sz w:val="24"/>
          <w:szCs w:val="24"/>
        </w:rPr>
        <w:t xml:space="preserve"> и выше</w:t>
      </w:r>
      <w:r w:rsidRPr="009203C9">
        <w:rPr>
          <w:rFonts w:ascii="Times New Roman" w:hAnsi="Times New Roman" w:cs="Times New Roman"/>
          <w:sz w:val="24"/>
          <w:szCs w:val="24"/>
        </w:rPr>
        <w:t>, что недопустимо для материала вкладыша, разделяющего КС и ИК. Решить эту проблему в многоходовом ВТР можно тремя способами</w:t>
      </w:r>
      <w:r w:rsidR="008A7E02" w:rsidRPr="009203C9">
        <w:rPr>
          <w:rFonts w:ascii="Times New Roman" w:hAnsi="Times New Roman" w:cs="Times New Roman"/>
          <w:sz w:val="24"/>
          <w:szCs w:val="24"/>
        </w:rPr>
        <w:t>:</w:t>
      </w:r>
    </w:p>
    <w:p w:rsidR="008A7E02" w:rsidRPr="009203C9" w:rsidRDefault="008A7E02" w:rsidP="008A7E02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т</w:t>
      </w:r>
      <w:r w:rsidR="005F2DDF" w:rsidRPr="009203C9">
        <w:rPr>
          <w:rFonts w:ascii="Times New Roman" w:hAnsi="Times New Roman" w:cs="Times New Roman"/>
          <w:sz w:val="24"/>
          <w:szCs w:val="24"/>
        </w:rPr>
        <w:t>радиционным – независимым охлаждением разделяющей стенки проточной водой</w:t>
      </w:r>
      <w:r w:rsidRPr="009203C9">
        <w:rPr>
          <w:rFonts w:ascii="Times New Roman" w:hAnsi="Times New Roman" w:cs="Times New Roman"/>
          <w:sz w:val="24"/>
          <w:szCs w:val="24"/>
        </w:rPr>
        <w:t>;</w:t>
      </w:r>
      <w:r w:rsidR="005F2DDF" w:rsidRPr="009203C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A7E02" w:rsidRPr="009203C9" w:rsidRDefault="005F2DDF" w:rsidP="008A7E02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внедрением внутреннего парогенератора</w:t>
      </w:r>
      <w:r w:rsidR="008A7E02" w:rsidRPr="009203C9">
        <w:rPr>
          <w:rFonts w:ascii="Times New Roman" w:hAnsi="Times New Roman" w:cs="Times New Roman"/>
          <w:sz w:val="24"/>
          <w:szCs w:val="24"/>
        </w:rPr>
        <w:t>;</w:t>
      </w:r>
    </w:p>
    <w:p w:rsidR="008A7E02" w:rsidRPr="009203C9" w:rsidRDefault="005F2DDF" w:rsidP="008A7E02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комбинацией этих </w:t>
      </w:r>
      <w:r w:rsidR="008A7E02" w:rsidRPr="009203C9">
        <w:rPr>
          <w:rFonts w:ascii="Times New Roman" w:hAnsi="Times New Roman" w:cs="Times New Roman"/>
          <w:sz w:val="24"/>
          <w:szCs w:val="24"/>
        </w:rPr>
        <w:t xml:space="preserve">двух </w:t>
      </w:r>
      <w:r w:rsidRPr="009203C9">
        <w:rPr>
          <w:rFonts w:ascii="Times New Roman" w:hAnsi="Times New Roman" w:cs="Times New Roman"/>
          <w:sz w:val="24"/>
          <w:szCs w:val="24"/>
        </w:rPr>
        <w:t xml:space="preserve">методов. 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На рисунке 1 представлена комбинированная схема. Использование внутреннего парогенератора позволяет охлаждать вкладыш продуктовой водой, что при определенных условиях может позволить отказаться от охлажд</w:t>
      </w:r>
      <w:r w:rsidR="008A7E02" w:rsidRPr="009203C9">
        <w:rPr>
          <w:rFonts w:ascii="Times New Roman" w:hAnsi="Times New Roman" w:cs="Times New Roman"/>
          <w:sz w:val="24"/>
          <w:szCs w:val="24"/>
        </w:rPr>
        <w:t xml:space="preserve">ения </w:t>
      </w:r>
      <w:proofErr w:type="spellStart"/>
      <w:r w:rsidR="008A7E02" w:rsidRPr="009203C9">
        <w:rPr>
          <w:rFonts w:ascii="Times New Roman" w:hAnsi="Times New Roman" w:cs="Times New Roman"/>
          <w:sz w:val="24"/>
          <w:szCs w:val="24"/>
        </w:rPr>
        <w:t>оборотно</w:t>
      </w:r>
      <w:proofErr w:type="spellEnd"/>
      <w:r w:rsidR="008A7E02" w:rsidRPr="009203C9">
        <w:rPr>
          <w:rFonts w:ascii="Times New Roman" w:hAnsi="Times New Roman" w:cs="Times New Roman"/>
          <w:sz w:val="24"/>
          <w:szCs w:val="24"/>
        </w:rPr>
        <w:tab/>
        <w:t>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вод</w:t>
      </w:r>
      <w:r w:rsidR="008A7E02" w:rsidRPr="009203C9">
        <w:rPr>
          <w:rFonts w:ascii="Times New Roman" w:hAnsi="Times New Roman" w:cs="Times New Roman"/>
          <w:sz w:val="24"/>
          <w:szCs w:val="24"/>
        </w:rPr>
        <w:t>ой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или </w:t>
      </w:r>
      <w:r w:rsidR="008A7E02" w:rsidRPr="009203C9">
        <w:rPr>
          <w:rFonts w:ascii="Times New Roman" w:hAnsi="Times New Roman" w:cs="Times New Roman"/>
          <w:sz w:val="24"/>
          <w:szCs w:val="24"/>
        </w:rPr>
        <w:t>упростить систему ее подачи</w:t>
      </w:r>
      <w:r w:rsidRPr="009203C9">
        <w:rPr>
          <w:rFonts w:ascii="Times New Roman" w:hAnsi="Times New Roman" w:cs="Times New Roman"/>
          <w:sz w:val="24"/>
          <w:szCs w:val="24"/>
        </w:rPr>
        <w:t>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Внутренний парогенератор выполняется в виде цилиндрического вкладыша из материала с высокой теплопроводностью (например, из хромистой бронзы).  Вкладыш помещается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концентрически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в объем КС, в результате чего образуются две стенки: огневая – контактирующая с ПС, и промежуточная – между огневой и выходящим из реактора газом. По зазору между ними подается продуктовая вода для тех же целей, что и в ВТР традиционной конструкции через блок впрыска. В парогенераторе она также обеспечивает теплоотвод от стенок, исключая возможность их прогара.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При анализе теплообмена в парогенераторе можно выделить четыре основных участка.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Первый участок (I на рис.3) – нагрев жидкой воды от температуры подачи до </w:t>
      </w:r>
      <w:r w:rsidRPr="009203C9">
        <w:rPr>
          <w:rFonts w:ascii="Times New Roman" w:hAnsi="Times New Roman" w:cs="Times New Roman"/>
          <w:sz w:val="24"/>
          <w:szCs w:val="24"/>
        </w:rPr>
        <w:lastRenderedPageBreak/>
        <w:t xml:space="preserve">температуры кипения. На данном участке вся подаваемая вода находится в жидкой фазе. Огневая стенка не позволяет смешиваться </w:t>
      </w:r>
      <w:r w:rsidR="00FE62A0" w:rsidRPr="009203C9">
        <w:rPr>
          <w:rFonts w:ascii="Times New Roman" w:hAnsi="Times New Roman" w:cs="Times New Roman"/>
          <w:sz w:val="24"/>
          <w:szCs w:val="24"/>
        </w:rPr>
        <w:t>ПС</w:t>
      </w:r>
      <w:r w:rsidRPr="009203C9">
        <w:rPr>
          <w:rFonts w:ascii="Times New Roman" w:hAnsi="Times New Roman" w:cs="Times New Roman"/>
          <w:sz w:val="24"/>
          <w:szCs w:val="24"/>
        </w:rPr>
        <w:t xml:space="preserve"> и </w:t>
      </w:r>
      <w:r w:rsidR="00FE62A0" w:rsidRPr="009203C9">
        <w:rPr>
          <w:rFonts w:ascii="Times New Roman" w:hAnsi="Times New Roman" w:cs="Times New Roman"/>
          <w:sz w:val="24"/>
          <w:szCs w:val="24"/>
        </w:rPr>
        <w:t xml:space="preserve">продуктовой </w:t>
      </w:r>
      <w:r w:rsidRPr="009203C9">
        <w:rPr>
          <w:rFonts w:ascii="Times New Roman" w:hAnsi="Times New Roman" w:cs="Times New Roman"/>
          <w:sz w:val="24"/>
          <w:szCs w:val="24"/>
        </w:rPr>
        <w:t>воде, что особенно важно на начальном этапе горения в КС.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672"/>
        <w:gridCol w:w="4673"/>
      </w:tblGrid>
      <w:tr w:rsidR="0092252B" w:rsidRPr="009203C9" w:rsidTr="009203C9">
        <w:trPr>
          <w:trHeight w:val="3807"/>
        </w:trPr>
        <w:tc>
          <w:tcPr>
            <w:tcW w:w="4672" w:type="dxa"/>
            <w:shd w:val="clear" w:color="000000" w:fill="FFFFFF"/>
          </w:tcPr>
          <w:p w:rsidR="00DF7C8E" w:rsidRPr="009203C9" w:rsidRDefault="00DF7C8E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9203C9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968701" cy="29432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701" cy="2943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shd w:val="clear" w:color="000000" w:fill="FFFFFF"/>
            <w:vAlign w:val="center"/>
          </w:tcPr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Рисунок 3 – Участки парообразования в тракте подачи продуктовой воды.</w:t>
            </w: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 – </w:t>
            </w: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огневая стенка, 2 – промежуточная стенка</w:t>
            </w:r>
          </w:p>
          <w:p w:rsidR="00DF7C8E" w:rsidRPr="009203C9" w:rsidRDefault="00DF7C8E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</w:tr>
    </w:tbl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Далее идет начальный участок испарения (II на рис.3). На данном участке начинается процесс испарения воды около огневой стенки. Чтобы кипение здесь и на последующих участках имело не пузырьковый, а пленочный характер, необходимо создать условия для разделения фаз. Для этого в зазоре между стенками создаются спиральные каналы, благодаря чему появляется центробежная сила, прижимающая жидкую воду к промежуточной стенке (рис.4 A). 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На нижней границе огневой стенки начинается третий участок – свободный (III на рис.3). Здесь жидкофазная вода продолжает стекать вдоль стенки, а водяной пар начинает перемешиваться с </w:t>
      </w:r>
      <w:r w:rsidR="00FE62A0" w:rsidRPr="009203C9">
        <w:rPr>
          <w:rFonts w:ascii="Times New Roman" w:hAnsi="Times New Roman" w:cs="Times New Roman"/>
          <w:sz w:val="24"/>
          <w:szCs w:val="24"/>
        </w:rPr>
        <w:t>ПС</w:t>
      </w:r>
      <w:r w:rsidRPr="009203C9">
        <w:rPr>
          <w:rFonts w:ascii="Times New Roman" w:hAnsi="Times New Roman" w:cs="Times New Roman"/>
          <w:sz w:val="24"/>
          <w:szCs w:val="24"/>
        </w:rPr>
        <w:t xml:space="preserve">. Поскольку </w:t>
      </w:r>
      <w:r w:rsidR="00307E4A" w:rsidRPr="009203C9">
        <w:rPr>
          <w:rFonts w:ascii="Times New Roman" w:hAnsi="Times New Roman" w:cs="Times New Roman"/>
          <w:sz w:val="24"/>
          <w:szCs w:val="24"/>
        </w:rPr>
        <w:t>ПС</w:t>
      </w:r>
      <w:r w:rsidRPr="009203C9">
        <w:rPr>
          <w:rFonts w:ascii="Times New Roman" w:hAnsi="Times New Roman" w:cs="Times New Roman"/>
          <w:sz w:val="24"/>
          <w:szCs w:val="24"/>
        </w:rPr>
        <w:t xml:space="preserve"> не контактируют</w:t>
      </w:r>
      <w:r w:rsidR="00307E4A" w:rsidRPr="009203C9">
        <w:rPr>
          <w:rFonts w:ascii="Times New Roman" w:hAnsi="Times New Roman" w:cs="Times New Roman"/>
          <w:sz w:val="24"/>
          <w:szCs w:val="24"/>
        </w:rPr>
        <w:t xml:space="preserve"> напрямую</w:t>
      </w:r>
      <w:r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307E4A" w:rsidRPr="009203C9">
        <w:rPr>
          <w:rFonts w:ascii="Times New Roman" w:hAnsi="Times New Roman" w:cs="Times New Roman"/>
          <w:sz w:val="24"/>
          <w:szCs w:val="24"/>
        </w:rPr>
        <w:t xml:space="preserve">с промежуточной </w:t>
      </w:r>
      <w:r w:rsidRPr="009203C9">
        <w:rPr>
          <w:rFonts w:ascii="Times New Roman" w:hAnsi="Times New Roman" w:cs="Times New Roman"/>
          <w:sz w:val="24"/>
          <w:szCs w:val="24"/>
        </w:rPr>
        <w:t>стенкой, её температура остается приемлемо низкой.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В нижней части КС, где заканчивается промежуточная стенка, начинается четвертый участ</w:t>
      </w:r>
      <w:r w:rsidR="00307E4A" w:rsidRPr="009203C9">
        <w:rPr>
          <w:rFonts w:ascii="Times New Roman" w:hAnsi="Times New Roman" w:cs="Times New Roman"/>
          <w:sz w:val="24"/>
          <w:szCs w:val="24"/>
        </w:rPr>
        <w:t xml:space="preserve">ок – смесительный (IV на рис.3), где за счет поворота потока происходит интенсивное перемешивание ПС, водяного пара и жидкофазной остаточной воды, которая полностью </w:t>
      </w:r>
      <w:proofErr w:type="spellStart"/>
      <w:r w:rsidR="00307E4A" w:rsidRPr="009203C9">
        <w:rPr>
          <w:rFonts w:ascii="Times New Roman" w:hAnsi="Times New Roman" w:cs="Times New Roman"/>
          <w:sz w:val="24"/>
          <w:szCs w:val="24"/>
        </w:rPr>
        <w:t>доиспаряется</w:t>
      </w:r>
      <w:proofErr w:type="spellEnd"/>
      <w:r w:rsidR="00307E4A" w:rsidRPr="009203C9">
        <w:rPr>
          <w:rFonts w:ascii="Times New Roman" w:hAnsi="Times New Roman" w:cs="Times New Roman"/>
          <w:sz w:val="24"/>
          <w:szCs w:val="24"/>
        </w:rPr>
        <w:t>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Таким образом, на всем протяжении вкладыша обеспечива</w:t>
      </w:r>
      <w:r w:rsidR="00307E4A" w:rsidRPr="009203C9">
        <w:rPr>
          <w:rFonts w:ascii="Times New Roman" w:hAnsi="Times New Roman" w:cs="Times New Roman"/>
          <w:sz w:val="24"/>
          <w:szCs w:val="24"/>
        </w:rPr>
        <w:t>ется</w:t>
      </w:r>
      <w:r w:rsidRPr="009203C9">
        <w:rPr>
          <w:rFonts w:ascii="Times New Roman" w:hAnsi="Times New Roman" w:cs="Times New Roman"/>
          <w:sz w:val="24"/>
          <w:szCs w:val="24"/>
        </w:rPr>
        <w:t xml:space="preserve"> защита стен</w:t>
      </w:r>
      <w:r w:rsidR="00307E4A" w:rsidRPr="009203C9">
        <w:rPr>
          <w:rFonts w:ascii="Times New Roman" w:hAnsi="Times New Roman" w:cs="Times New Roman"/>
          <w:sz w:val="24"/>
          <w:szCs w:val="24"/>
        </w:rPr>
        <w:t xml:space="preserve">ок </w:t>
      </w:r>
      <w:r w:rsidRPr="009203C9">
        <w:rPr>
          <w:rFonts w:ascii="Times New Roman" w:hAnsi="Times New Roman" w:cs="Times New Roman"/>
          <w:sz w:val="24"/>
          <w:szCs w:val="24"/>
        </w:rPr>
        <w:t xml:space="preserve">от прогара. На участке I – за счет отвода тепла в жидкость через огневую стенку, на участке II – за счет отвода теплоты на парообразование так же через огневую стенку, на последующих </w:t>
      </w:r>
      <w:r w:rsidRPr="009203C9">
        <w:rPr>
          <w:rFonts w:ascii="Times New Roman" w:hAnsi="Times New Roman" w:cs="Times New Roman"/>
          <w:sz w:val="24"/>
          <w:szCs w:val="24"/>
        </w:rPr>
        <w:lastRenderedPageBreak/>
        <w:t xml:space="preserve">участках – за счет отвода тепла от </w:t>
      </w:r>
      <w:r w:rsidR="00307E4A" w:rsidRPr="009203C9">
        <w:rPr>
          <w:rFonts w:ascii="Times New Roman" w:hAnsi="Times New Roman" w:cs="Times New Roman"/>
          <w:sz w:val="24"/>
          <w:szCs w:val="24"/>
        </w:rPr>
        <w:t>промежуточной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стенки и ПС в плёнки воды и пара.</w:t>
      </w:r>
    </w:p>
    <w:p w:rsidR="00DF7C8E" w:rsidRPr="009203C9" w:rsidRDefault="00307E4A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Основная сложность рассмотренной</w:t>
      </w:r>
      <w:r w:rsidR="005F2DDF" w:rsidRPr="009203C9">
        <w:rPr>
          <w:rFonts w:ascii="Times New Roman" w:hAnsi="Times New Roman" w:cs="Times New Roman"/>
          <w:sz w:val="24"/>
          <w:szCs w:val="24"/>
        </w:rPr>
        <w:t xml:space="preserve"> схемы связана с тем, что в парогенераторе охлаждение стенок производится продуктовой водой. При этом в ВТР различной производительности её количество может оказаться как избыточным, так и недостаточным для охлаждения, т.к. зависит от расходов и соотношения горючего и окислителя. Поэтому система охлаждения требует расчета в привязке к количеству подаваемой продуктовой воды. При её недостатке можно использовать комбинированную схему</w:t>
      </w:r>
      <w:r w:rsidRPr="009203C9">
        <w:rPr>
          <w:rFonts w:ascii="Times New Roman" w:hAnsi="Times New Roman" w:cs="Times New Roman"/>
          <w:sz w:val="24"/>
          <w:szCs w:val="24"/>
        </w:rPr>
        <w:t xml:space="preserve"> охлаждения</w:t>
      </w:r>
      <w:r w:rsidR="005F2DDF" w:rsidRPr="009203C9">
        <w:rPr>
          <w:rFonts w:ascii="Times New Roman" w:hAnsi="Times New Roman" w:cs="Times New Roman"/>
          <w:sz w:val="24"/>
          <w:szCs w:val="24"/>
        </w:rPr>
        <w:t>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Наряду со стенками в двухходовом ВТР есть еще один теплонапряженный элемент – днище. Оно расположено непосредственно под зоной горения – там, где происходит разворот горячего потока ПС. Решить проблему высоких температур в данной области можно введением проточного охлаждения днища, аналогичного схеме охлаждения </w:t>
      </w:r>
      <w:r w:rsidR="003E00E2" w:rsidRPr="009203C9">
        <w:rPr>
          <w:rFonts w:ascii="Times New Roman" w:hAnsi="Times New Roman" w:cs="Times New Roman"/>
          <w:sz w:val="24"/>
          <w:szCs w:val="24"/>
        </w:rPr>
        <w:t>промежуточной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стенки. Вариант реализации проточного независимого охлаждения днища </w:t>
      </w:r>
      <w:r w:rsidR="00F2261D" w:rsidRPr="009203C9">
        <w:rPr>
          <w:rFonts w:ascii="Times New Roman" w:hAnsi="Times New Roman" w:cs="Times New Roman"/>
          <w:sz w:val="24"/>
          <w:szCs w:val="24"/>
        </w:rPr>
        <w:t xml:space="preserve">парогенератора (рис. 4 C) </w:t>
      </w:r>
      <w:r w:rsidR="003E00E2" w:rsidRPr="009203C9">
        <w:rPr>
          <w:rFonts w:ascii="Times New Roman" w:hAnsi="Times New Roman" w:cs="Times New Roman"/>
          <w:sz w:val="24"/>
          <w:szCs w:val="24"/>
        </w:rPr>
        <w:t>целесообразен, когда продуктовой воды недостаточно</w:t>
      </w:r>
      <w:r w:rsidR="00F2261D" w:rsidRPr="009203C9">
        <w:rPr>
          <w:rFonts w:ascii="Times New Roman" w:hAnsi="Times New Roman" w:cs="Times New Roman"/>
          <w:sz w:val="24"/>
          <w:szCs w:val="24"/>
        </w:rPr>
        <w:t xml:space="preserve"> для охлаждения стенок вкладыша</w:t>
      </w:r>
      <w:r w:rsidRPr="009203C9">
        <w:rPr>
          <w:rFonts w:ascii="Times New Roman" w:hAnsi="Times New Roman" w:cs="Times New Roman"/>
          <w:sz w:val="24"/>
          <w:szCs w:val="24"/>
        </w:rPr>
        <w:t>. В случае, когда количество продуктовой воды с точки зрения охлаждения стенок избыточно, ее можно разделить на два потока</w:t>
      </w:r>
      <w:r w:rsidR="00F2261D" w:rsidRPr="009203C9">
        <w:rPr>
          <w:rFonts w:ascii="Times New Roman" w:hAnsi="Times New Roman" w:cs="Times New Roman"/>
          <w:sz w:val="24"/>
          <w:szCs w:val="24"/>
        </w:rPr>
        <w:t>,</w:t>
      </w:r>
      <w:r w:rsidRPr="009203C9">
        <w:rPr>
          <w:rFonts w:ascii="Times New Roman" w:hAnsi="Times New Roman" w:cs="Times New Roman"/>
          <w:sz w:val="24"/>
          <w:szCs w:val="24"/>
        </w:rPr>
        <w:t xml:space="preserve"> и направить </w:t>
      </w:r>
      <w:r w:rsidR="00F2261D" w:rsidRPr="009203C9">
        <w:rPr>
          <w:rFonts w:ascii="Times New Roman" w:hAnsi="Times New Roman" w:cs="Times New Roman"/>
          <w:sz w:val="24"/>
          <w:szCs w:val="24"/>
        </w:rPr>
        <w:t xml:space="preserve">один </w:t>
      </w:r>
      <w:r w:rsidRPr="009203C9">
        <w:rPr>
          <w:rFonts w:ascii="Times New Roman" w:hAnsi="Times New Roman" w:cs="Times New Roman"/>
          <w:sz w:val="24"/>
          <w:szCs w:val="24"/>
        </w:rPr>
        <w:t>в охлаждающий тракт днища с последующей подачей внутрь ВТР</w:t>
      </w:r>
      <w:r w:rsidR="00F2261D" w:rsidRPr="009203C9">
        <w:rPr>
          <w:rFonts w:ascii="Times New Roman" w:hAnsi="Times New Roman" w:cs="Times New Roman"/>
          <w:sz w:val="24"/>
          <w:szCs w:val="24"/>
        </w:rPr>
        <w:t xml:space="preserve"> (рис.</w:t>
      </w:r>
      <w:r w:rsidRPr="009203C9">
        <w:rPr>
          <w:rFonts w:ascii="Times New Roman" w:hAnsi="Times New Roman" w:cs="Times New Roman"/>
          <w:sz w:val="24"/>
          <w:szCs w:val="24"/>
        </w:rPr>
        <w:t xml:space="preserve"> 4 D</w:t>
      </w:r>
      <w:r w:rsidR="00F2261D" w:rsidRPr="009203C9">
        <w:rPr>
          <w:rFonts w:ascii="Times New Roman" w:hAnsi="Times New Roman" w:cs="Times New Roman"/>
          <w:sz w:val="24"/>
          <w:szCs w:val="24"/>
        </w:rPr>
        <w:t>)</w:t>
      </w:r>
      <w:r w:rsidRPr="009203C9"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776"/>
        <w:gridCol w:w="4673"/>
      </w:tblGrid>
      <w:tr w:rsidR="0092252B" w:rsidRPr="009203C9" w:rsidTr="004B7BA6">
        <w:trPr>
          <w:trHeight w:val="5502"/>
        </w:trPr>
        <w:tc>
          <w:tcPr>
            <w:tcW w:w="4776" w:type="dxa"/>
            <w:shd w:val="clear" w:color="000000" w:fill="FFFFFF"/>
          </w:tcPr>
          <w:p w:rsidR="00DF7C8E" w:rsidRPr="009203C9" w:rsidRDefault="00DF7C8E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9203C9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771775" cy="31242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shd w:val="clear" w:color="000000" w:fill="FFFFFF"/>
            <w:vAlign w:val="center"/>
          </w:tcPr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20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Рисунок 4 – Собирательная схема конструктивных решений многоходового ВТР</w:t>
            </w: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А – Вкладыш с воронкой;</w:t>
            </w: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>В – Вкладыш с боковой подачей;</w:t>
            </w: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С – Охлаждение днища проточной водой; </w:t>
            </w:r>
          </w:p>
          <w:p w:rsidR="00DF7C8E" w:rsidRPr="009203C9" w:rsidRDefault="005F2DDF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03C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9203C9">
              <w:rPr>
                <w:rFonts w:ascii="Times New Roman" w:hAnsi="Times New Roman" w:cs="Times New Roman"/>
                <w:sz w:val="24"/>
                <w:szCs w:val="24"/>
              </w:rPr>
              <w:t xml:space="preserve"> – Охлаждение днища продуктовой водой с подачей в ВТР.</w:t>
            </w:r>
          </w:p>
          <w:p w:rsidR="00DF7C8E" w:rsidRPr="009203C9" w:rsidRDefault="00DF7C8E">
            <w:pPr>
              <w:widowControl w:val="0"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Самой сложной из обозначенных является проблема интенсивного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сажеобразования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в реакторе. В предлагаемой двухходовой схеме ВТР наиболее крупные и слипшиеся мелкие частицы будут оседать на дне в центральной части реактора, в застойных зонах. Там будет </w:t>
      </w:r>
      <w:r w:rsidRPr="009203C9">
        <w:rPr>
          <w:rFonts w:ascii="Times New Roman" w:hAnsi="Times New Roman" w:cs="Times New Roman"/>
          <w:sz w:val="24"/>
          <w:szCs w:val="24"/>
        </w:rPr>
        <w:lastRenderedPageBreak/>
        <w:t>образовываться слой сажи, ухудшающий температурные условия работы днища и забивающий технологическое сливное отверстие.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Традиционный способ </w:t>
      </w:r>
      <w:r w:rsidR="00C35088" w:rsidRPr="009203C9">
        <w:rPr>
          <w:rFonts w:ascii="Times New Roman" w:hAnsi="Times New Roman" w:cs="Times New Roman"/>
          <w:sz w:val="24"/>
          <w:szCs w:val="24"/>
        </w:rPr>
        <w:t>борьбы с сажей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C35088" w:rsidRPr="009203C9">
        <w:rPr>
          <w:rFonts w:ascii="Times New Roman" w:hAnsi="Times New Roman" w:cs="Times New Roman"/>
          <w:sz w:val="24"/>
          <w:szCs w:val="24"/>
        </w:rPr>
        <w:t>– и</w:t>
      </w:r>
      <w:r w:rsidRPr="009203C9">
        <w:rPr>
          <w:rFonts w:ascii="Times New Roman" w:hAnsi="Times New Roman" w:cs="Times New Roman"/>
          <w:sz w:val="24"/>
          <w:szCs w:val="24"/>
        </w:rPr>
        <w:t>спользование реакции водяного газа, протекающей по уравнению:</w:t>
      </w:r>
    </w:p>
    <w:p w:rsidR="00C35088" w:rsidRPr="004B7BA6" w:rsidRDefault="00F1157A" w:rsidP="00C35088">
      <w:pPr>
        <w:rPr>
          <w:rFonts w:ascii="Times New Roman" w:hAnsi="Times New Roman" w:cs="Times New Roman"/>
          <w:sz w:val="24"/>
          <w:szCs w:val="24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sz w:val="24"/>
                  <w:szCs w:val="24"/>
                  <w:lang w:eastAsia="en-US"/>
                </w:rPr>
              </m:ctrlPr>
            </m:sSup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*</m:t>
              </m:r>
            </m:sup>
          </m:sSup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Cambria Math" w:cs="Times New Roman"/>
                  <w:sz w:val="24"/>
                  <w:szCs w:val="24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O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→</m:t>
          </m:r>
          <m:r>
            <w:rPr>
              <w:rFonts w:ascii="Cambria Math" w:hAnsi="Cambria Math" w:cs="Times New Roman"/>
              <w:sz w:val="24"/>
              <w:szCs w:val="24"/>
            </w:rPr>
            <m:t>CO</m:t>
          </m:r>
          <m:r>
            <m:rPr>
              <m:sty m:val="p"/>
            </m:rPr>
            <w:rPr>
              <w:rFonts w:ascii="Cambria Math" w:hAnsi="Cambria Math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Cambria Math" w:cs="Times New Roman"/>
                  <w:sz w:val="24"/>
                  <w:szCs w:val="24"/>
                  <w:lang w:eastAsia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2</m:t>
              </m:r>
            </m:sub>
          </m:sSub>
        </m:oMath>
      </m:oMathPara>
    </w:p>
    <w:p w:rsidR="00DF7C8E" w:rsidRPr="009203C9" w:rsidRDefault="00C35088" w:rsidP="00C35088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5F2DDF" w:rsidRPr="009203C9">
        <w:rPr>
          <w:rFonts w:ascii="Times New Roman" w:hAnsi="Times New Roman" w:cs="Times New Roman"/>
          <w:sz w:val="24"/>
          <w:szCs w:val="24"/>
        </w:rPr>
        <w:t xml:space="preserve">Чтобы создать благоприятные условия для её протекания, необходимо подавать водяной пар в количестве до 20% от массового расхода горючего максимально близко к области образования и скопления сажи. 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Рассмотренный выше парогенератор со свободным участком </w:t>
      </w:r>
      <w:r w:rsidR="00C35088" w:rsidRPr="009203C9">
        <w:rPr>
          <w:rFonts w:ascii="Times New Roman" w:hAnsi="Times New Roman" w:cs="Times New Roman"/>
          <w:sz w:val="24"/>
          <w:szCs w:val="24"/>
        </w:rPr>
        <w:t>(участок III рис.</w:t>
      </w:r>
      <w:r w:rsidRPr="009203C9">
        <w:rPr>
          <w:rFonts w:ascii="Times New Roman" w:hAnsi="Times New Roman" w:cs="Times New Roman"/>
          <w:sz w:val="24"/>
          <w:szCs w:val="24"/>
        </w:rPr>
        <w:t xml:space="preserve">3), на котором имеется слой водяного пара, эту проблему решает автоматически, т.к. наибольшее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сажеобразование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наблюдается именно в пристеночных, холодных, зонах КС. Так же можно организовать сброс части пара в КС и через отверстия в огневой стенке на </w:t>
      </w:r>
      <w:r w:rsidR="00C35088" w:rsidRPr="009203C9">
        <w:rPr>
          <w:rFonts w:ascii="Times New Roman" w:hAnsi="Times New Roman" w:cs="Times New Roman"/>
          <w:sz w:val="24"/>
          <w:szCs w:val="24"/>
        </w:rPr>
        <w:t>участке II (рис.</w:t>
      </w:r>
      <w:r w:rsidRPr="009203C9">
        <w:rPr>
          <w:rFonts w:ascii="Times New Roman" w:hAnsi="Times New Roman" w:cs="Times New Roman"/>
          <w:sz w:val="24"/>
          <w:szCs w:val="24"/>
        </w:rPr>
        <w:t>3)</w:t>
      </w:r>
      <w:r w:rsidR="00C35088" w:rsidRPr="009203C9">
        <w:rPr>
          <w:rFonts w:ascii="Times New Roman" w:hAnsi="Times New Roman" w:cs="Times New Roman"/>
          <w:sz w:val="24"/>
          <w:szCs w:val="24"/>
        </w:rPr>
        <w:t>.</w:t>
      </w:r>
    </w:p>
    <w:p w:rsidR="00357334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Для организации зоны с благоприятными условиями протекания реакции водяного газа в нижней части ВТР можно использовать </w:t>
      </w:r>
      <w:r w:rsidR="00C35088" w:rsidRPr="009203C9">
        <w:rPr>
          <w:rFonts w:ascii="Times New Roman" w:hAnsi="Times New Roman" w:cs="Times New Roman"/>
          <w:sz w:val="24"/>
          <w:szCs w:val="24"/>
        </w:rPr>
        <w:t>направленный</w:t>
      </w:r>
      <w:r w:rsidRPr="009203C9">
        <w:rPr>
          <w:rFonts w:ascii="Times New Roman" w:hAnsi="Times New Roman" w:cs="Times New Roman"/>
          <w:sz w:val="24"/>
          <w:szCs w:val="24"/>
        </w:rPr>
        <w:t xml:space="preserve"> сброс пара и воды </w:t>
      </w:r>
      <w:r w:rsidR="00C35088" w:rsidRPr="009203C9">
        <w:rPr>
          <w:rFonts w:ascii="Times New Roman" w:hAnsi="Times New Roman" w:cs="Times New Roman"/>
          <w:sz w:val="24"/>
          <w:szCs w:val="24"/>
        </w:rPr>
        <w:t xml:space="preserve">на границе КС </w:t>
      </w:r>
      <w:r w:rsidRPr="009203C9">
        <w:rPr>
          <w:rFonts w:ascii="Times New Roman" w:hAnsi="Times New Roman" w:cs="Times New Roman"/>
          <w:sz w:val="24"/>
          <w:szCs w:val="24"/>
        </w:rPr>
        <w:t>– под углом к оси ВТР, или поперек потока продуктов сгорания.</w:t>
      </w:r>
      <w:r w:rsidR="00C35088"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Pr="009203C9">
        <w:rPr>
          <w:rFonts w:ascii="Times New Roman" w:hAnsi="Times New Roman" w:cs="Times New Roman"/>
          <w:sz w:val="24"/>
          <w:szCs w:val="24"/>
        </w:rPr>
        <w:t xml:space="preserve">В случае с поперечной подачей воды она поступает в КС через щель или отверстия, расположенные на нижней границе вкладыша. Поскольку такие отверстия выполняют роль форсунок, обеспечивается </w:t>
      </w:r>
      <w:r w:rsidR="00357334" w:rsidRPr="009203C9">
        <w:rPr>
          <w:rFonts w:ascii="Times New Roman" w:hAnsi="Times New Roman" w:cs="Times New Roman"/>
          <w:sz w:val="24"/>
          <w:szCs w:val="24"/>
        </w:rPr>
        <w:t>хорошее</w:t>
      </w:r>
      <w:r w:rsidRPr="009203C9">
        <w:rPr>
          <w:rFonts w:ascii="Times New Roman" w:hAnsi="Times New Roman" w:cs="Times New Roman"/>
          <w:sz w:val="24"/>
          <w:szCs w:val="24"/>
        </w:rPr>
        <w:t xml:space="preserve"> распыление и смешение. Схему целесообразно использовать при гарантированном избытке продуктовой воды над требованием расхода по охлаждению стенок. 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Сброс воды и пара поперек потока ПС или под углом, в отличие от сброса по оси ВТР, также снижает остроту проблемы охлаждения днища, т.к. </w:t>
      </w:r>
      <w:r w:rsidR="00357334" w:rsidRPr="009203C9">
        <w:rPr>
          <w:rFonts w:ascii="Times New Roman" w:hAnsi="Times New Roman" w:cs="Times New Roman"/>
          <w:sz w:val="24"/>
          <w:szCs w:val="24"/>
        </w:rPr>
        <w:t xml:space="preserve">резко снижается температура газов </w:t>
      </w:r>
      <w:r w:rsidRPr="009203C9">
        <w:rPr>
          <w:rFonts w:ascii="Times New Roman" w:hAnsi="Times New Roman" w:cs="Times New Roman"/>
          <w:sz w:val="24"/>
          <w:szCs w:val="24"/>
        </w:rPr>
        <w:t>за счет смешения потоков.</w:t>
      </w:r>
    </w:p>
    <w:p w:rsidR="00DF7C8E" w:rsidRPr="009203C9" w:rsidRDefault="009346D0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Р</w:t>
      </w:r>
      <w:r w:rsidR="005F2DDF" w:rsidRPr="009203C9">
        <w:rPr>
          <w:rFonts w:ascii="Times New Roman" w:hAnsi="Times New Roman" w:cs="Times New Roman"/>
          <w:sz w:val="24"/>
          <w:szCs w:val="24"/>
        </w:rPr>
        <w:t>азворот потока на 180 градусов приводит к потерям давления, образованию застойных зон и отложен</w:t>
      </w:r>
      <w:r w:rsidRPr="009203C9">
        <w:rPr>
          <w:rFonts w:ascii="Times New Roman" w:hAnsi="Times New Roman" w:cs="Times New Roman"/>
          <w:sz w:val="24"/>
          <w:szCs w:val="24"/>
        </w:rPr>
        <w:t>ию</w:t>
      </w:r>
      <w:r w:rsidR="005F2DDF" w:rsidRPr="009203C9">
        <w:rPr>
          <w:rFonts w:ascii="Times New Roman" w:hAnsi="Times New Roman" w:cs="Times New Roman"/>
          <w:sz w:val="24"/>
          <w:szCs w:val="24"/>
        </w:rPr>
        <w:t xml:space="preserve"> твердых частиц на внутренней поверхности ВТР. Поэтому на участке разворота потока целесообразно сделать конусообразное днище, чтобы избежать образования застойных зон и паразитных вихрей.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Таким образом, предложенная схема </w:t>
      </w:r>
      <w:r w:rsidR="009346D0" w:rsidRPr="009203C9">
        <w:rPr>
          <w:rFonts w:ascii="Times New Roman" w:hAnsi="Times New Roman" w:cs="Times New Roman"/>
          <w:sz w:val="24"/>
          <w:szCs w:val="24"/>
        </w:rPr>
        <w:t>поможет</w:t>
      </w:r>
      <w:r w:rsidRPr="009203C9">
        <w:rPr>
          <w:rFonts w:ascii="Times New Roman" w:hAnsi="Times New Roman" w:cs="Times New Roman"/>
          <w:sz w:val="24"/>
          <w:szCs w:val="24"/>
        </w:rPr>
        <w:t xml:space="preserve"> не только уменьшить габариты ВТР, но и сни</w:t>
      </w:r>
      <w:r w:rsidR="009346D0" w:rsidRPr="009203C9">
        <w:rPr>
          <w:rFonts w:ascii="Times New Roman" w:hAnsi="Times New Roman" w:cs="Times New Roman"/>
          <w:sz w:val="24"/>
          <w:szCs w:val="24"/>
        </w:rPr>
        <w:t xml:space="preserve">зить </w:t>
      </w:r>
      <w:proofErr w:type="spellStart"/>
      <w:r w:rsidR="009346D0" w:rsidRPr="009203C9">
        <w:rPr>
          <w:rFonts w:ascii="Times New Roman" w:hAnsi="Times New Roman" w:cs="Times New Roman"/>
          <w:sz w:val="24"/>
          <w:szCs w:val="24"/>
        </w:rPr>
        <w:t>сажеобразование</w:t>
      </w:r>
      <w:proofErr w:type="spellEnd"/>
      <w:r w:rsidR="009346D0" w:rsidRPr="009203C9">
        <w:rPr>
          <w:rFonts w:ascii="Times New Roman" w:hAnsi="Times New Roman" w:cs="Times New Roman"/>
          <w:sz w:val="24"/>
          <w:szCs w:val="24"/>
        </w:rPr>
        <w:t xml:space="preserve">, а </w:t>
      </w:r>
      <w:r w:rsidRPr="009203C9">
        <w:rPr>
          <w:rFonts w:ascii="Times New Roman" w:hAnsi="Times New Roman" w:cs="Times New Roman"/>
          <w:sz w:val="24"/>
          <w:szCs w:val="24"/>
        </w:rPr>
        <w:t>в предельном</w:t>
      </w:r>
      <w:r w:rsidR="009346D0" w:rsidRPr="009203C9">
        <w:rPr>
          <w:rFonts w:ascii="Times New Roman" w:hAnsi="Times New Roman" w:cs="Times New Roman"/>
          <w:sz w:val="24"/>
          <w:szCs w:val="24"/>
        </w:rPr>
        <w:t>, наиболее благоприятном случае,</w:t>
      </w:r>
      <w:r w:rsidRPr="009203C9">
        <w:rPr>
          <w:rFonts w:ascii="Times New Roman" w:hAnsi="Times New Roman" w:cs="Times New Roman"/>
          <w:sz w:val="24"/>
          <w:szCs w:val="24"/>
        </w:rPr>
        <w:t xml:space="preserve"> отказаться от линии подачи воды охлаждения в рубашку промежуточной стенки.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Однако, в отличие от ВТР традиционной схемы, математические модели двух – и более ходовых реакторов </w:t>
      </w:r>
      <w:r w:rsidR="009346D0" w:rsidRPr="009203C9">
        <w:rPr>
          <w:rFonts w:ascii="Times New Roman" w:hAnsi="Times New Roman" w:cs="Times New Roman"/>
          <w:sz w:val="24"/>
          <w:szCs w:val="24"/>
        </w:rPr>
        <w:t>на сегодняшний день еще</w:t>
      </w:r>
      <w:r w:rsidRPr="009203C9">
        <w:rPr>
          <w:rFonts w:ascii="Times New Roman" w:hAnsi="Times New Roman" w:cs="Times New Roman"/>
          <w:sz w:val="24"/>
          <w:szCs w:val="24"/>
        </w:rPr>
        <w:t xml:space="preserve"> не разработаны. Разработка такой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матмодели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9346D0" w:rsidRPr="009203C9">
        <w:rPr>
          <w:rFonts w:ascii="Times New Roman" w:hAnsi="Times New Roman" w:cs="Times New Roman"/>
          <w:sz w:val="24"/>
          <w:szCs w:val="24"/>
        </w:rPr>
        <w:t>является следующим</w:t>
      </w:r>
      <w:r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9346D0" w:rsidRPr="009203C9">
        <w:rPr>
          <w:rFonts w:ascii="Times New Roman" w:hAnsi="Times New Roman" w:cs="Times New Roman"/>
          <w:sz w:val="24"/>
          <w:szCs w:val="24"/>
        </w:rPr>
        <w:t>этапом</w:t>
      </w:r>
      <w:r w:rsidRPr="009203C9">
        <w:rPr>
          <w:rFonts w:ascii="Times New Roman" w:hAnsi="Times New Roman" w:cs="Times New Roman"/>
          <w:sz w:val="24"/>
          <w:szCs w:val="24"/>
        </w:rPr>
        <w:t xml:space="preserve"> работы</w:t>
      </w:r>
      <w:r w:rsidR="009346D0" w:rsidRPr="009203C9">
        <w:rPr>
          <w:rFonts w:ascii="Times New Roman" w:hAnsi="Times New Roman" w:cs="Times New Roman"/>
          <w:sz w:val="24"/>
          <w:szCs w:val="24"/>
        </w:rPr>
        <w:t xml:space="preserve"> над данным проектом. По окончании</w:t>
      </w:r>
      <w:r w:rsidRPr="009203C9">
        <w:rPr>
          <w:rFonts w:ascii="Times New Roman" w:hAnsi="Times New Roman" w:cs="Times New Roman"/>
          <w:sz w:val="24"/>
          <w:szCs w:val="24"/>
        </w:rPr>
        <w:t xml:space="preserve"> её нужно</w:t>
      </w:r>
      <w:r w:rsidR="009346D0" w:rsidRPr="009203C9">
        <w:rPr>
          <w:rFonts w:ascii="Times New Roman" w:hAnsi="Times New Roman" w:cs="Times New Roman"/>
          <w:sz w:val="24"/>
          <w:szCs w:val="24"/>
        </w:rPr>
        <w:t xml:space="preserve"> </w:t>
      </w:r>
      <w:r w:rsidR="009346D0" w:rsidRPr="009203C9">
        <w:rPr>
          <w:rFonts w:ascii="Times New Roman" w:hAnsi="Times New Roman" w:cs="Times New Roman"/>
          <w:sz w:val="24"/>
          <w:szCs w:val="24"/>
        </w:rPr>
        <w:lastRenderedPageBreak/>
        <w:t>будет</w:t>
      </w:r>
      <w:r w:rsidRPr="009203C9">
        <w:rPr>
          <w:rFonts w:ascii="Times New Roman" w:hAnsi="Times New Roman" w:cs="Times New Roman"/>
          <w:sz w:val="24"/>
          <w:szCs w:val="24"/>
        </w:rPr>
        <w:t xml:space="preserve"> проверить экспериментально</w:t>
      </w:r>
      <w:r w:rsidR="009346D0" w:rsidRPr="009203C9">
        <w:rPr>
          <w:rFonts w:ascii="Times New Roman" w:hAnsi="Times New Roman" w:cs="Times New Roman"/>
          <w:sz w:val="24"/>
          <w:szCs w:val="24"/>
        </w:rPr>
        <w:t xml:space="preserve"> на различных вариантах конструкции, так как часть протекающих процессов не поддается моделированию</w:t>
      </w:r>
      <w:r w:rsidRPr="009203C9">
        <w:rPr>
          <w:rFonts w:ascii="Times New Roman" w:hAnsi="Times New Roman" w:cs="Times New Roman"/>
          <w:sz w:val="24"/>
          <w:szCs w:val="24"/>
        </w:rPr>
        <w:t>.</w:t>
      </w:r>
    </w:p>
    <w:p w:rsidR="00DF7C8E" w:rsidRPr="009203C9" w:rsidRDefault="005F2DDF">
      <w:pPr>
        <w:widowControl w:val="0"/>
        <w:autoSpaceDE w:val="0"/>
        <w:autoSpaceDN w:val="0"/>
        <w:adjustRightInd w:val="0"/>
        <w:spacing w:before="240" w:after="0" w:line="360" w:lineRule="auto"/>
        <w:ind w:firstLine="85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203C9">
        <w:rPr>
          <w:rFonts w:ascii="Times New Roman" w:hAnsi="Times New Roman" w:cs="Times New Roman"/>
          <w:b/>
          <w:bCs/>
          <w:sz w:val="24"/>
          <w:szCs w:val="24"/>
        </w:rPr>
        <w:t>Список источников:</w:t>
      </w:r>
    </w:p>
    <w:p w:rsidR="00DF7C8E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Аникина В.Д. Разработка высокотемпературного реактора в составе заправочного комплекса для обеспечения работы беспилотных летательных аппаратов: 13.03.03 Энергетическое машиностроение. – СПб., 2017 год. – 75 стр.</w:t>
      </w:r>
    </w:p>
    <w:p w:rsidR="00DF7C8E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Аникина В.Д., Савченко Г.Б. Алгоритм проектирования установки получения водородсодержащего газа, как топлива летательных аппаратов // Материалы X Всероссийской студенческой научно-технической школы-семинара «Аэрокосмическая декада», ОУЦ Алушта, Республика Крым, 26 сентября - 2 октября 2017г. – М.: Изд-во «Доброе слово», 2017. – с.7-9</w:t>
      </w:r>
    </w:p>
    <w:p w:rsidR="00DF7C8E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Аникина В.Д., Савченко Г.Б. Результаты анализа алгоритма проектирования установки получения водородсодержащего газа для топливных элементов // Материалы III Общероссийской научно-технической конференции «Старт-2017» /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Балт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. гос.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техн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>. ун-т. – СПб., 2017.</w:t>
      </w:r>
    </w:p>
    <w:p w:rsidR="00DF7C8E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>Цыганова В.Д. Новая схема блока каталитической конверсии СО в установках получения водорода // Материалы XVI молодежной научно-технической конференции «Взгляд в будущее - 2018», СПб – АО «ЦКБ МТ «Рубин», 2018 - с.18-24.</w:t>
      </w:r>
    </w:p>
    <w:p w:rsidR="00DF7C8E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203C9">
        <w:rPr>
          <w:rFonts w:ascii="Times New Roman" w:hAnsi="Times New Roman" w:cs="Times New Roman"/>
          <w:sz w:val="24"/>
          <w:szCs w:val="24"/>
        </w:rPr>
        <w:t>Аникина В.Д. Конструкция многоходовой камеры сгорания высокотемпературного реактора // Материалы X Общероссийской молодежной научно-технической конференции «Молодежь. Техника. Космос</w:t>
      </w:r>
      <w:r w:rsidRPr="009203C9">
        <w:rPr>
          <w:rFonts w:ascii="Times New Roman" w:hAnsi="Times New Roman" w:cs="Times New Roman"/>
          <w:sz w:val="24"/>
          <w:szCs w:val="24"/>
          <w:lang w:val="en-US"/>
        </w:rPr>
        <w:t xml:space="preserve">», </w:t>
      </w:r>
      <w:r w:rsidRPr="009203C9">
        <w:rPr>
          <w:rFonts w:ascii="Times New Roman" w:hAnsi="Times New Roman" w:cs="Times New Roman"/>
          <w:sz w:val="24"/>
          <w:szCs w:val="24"/>
        </w:rPr>
        <w:t xml:space="preserve">СПб: БГТУ </w:t>
      </w:r>
      <w:r w:rsidRPr="009203C9">
        <w:rPr>
          <w:rFonts w:ascii="Times New Roman" w:hAnsi="Times New Roman" w:cs="Times New Roman"/>
          <w:sz w:val="24"/>
          <w:szCs w:val="24"/>
          <w:lang w:val="en-US"/>
        </w:rPr>
        <w:t>«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Военмех</w:t>
      </w:r>
      <w:proofErr w:type="spellEnd"/>
      <w:r w:rsidRPr="009203C9">
        <w:rPr>
          <w:rFonts w:ascii="Times New Roman" w:hAnsi="Times New Roman" w:cs="Times New Roman"/>
          <w:sz w:val="24"/>
          <w:szCs w:val="24"/>
          <w:lang w:val="en-US"/>
        </w:rPr>
        <w:t>», 2018.</w:t>
      </w:r>
    </w:p>
    <w:p w:rsidR="005F2DDF" w:rsidRPr="009203C9" w:rsidRDefault="005F2DDF" w:rsidP="004B7BA6">
      <w:pPr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03C9">
        <w:rPr>
          <w:rFonts w:ascii="Times New Roman" w:hAnsi="Times New Roman" w:cs="Times New Roman"/>
          <w:sz w:val="24"/>
          <w:szCs w:val="24"/>
        </w:rPr>
        <w:t xml:space="preserve">Патент №2523824 РФ С01В 3/32 B01J 19/26 Устройство для получения синтез-газа / Филимонов Ю.Н.,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Анискевич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 Ю.В. и др., патентообладатель ООО «ВТР» - </w:t>
      </w:r>
      <w:proofErr w:type="gramStart"/>
      <w:r w:rsidRPr="009203C9">
        <w:rPr>
          <w:rFonts w:ascii="Times New Roman" w:hAnsi="Times New Roman" w:cs="Times New Roman"/>
          <w:sz w:val="24"/>
          <w:szCs w:val="24"/>
        </w:rPr>
        <w:t>заявл.№</w:t>
      </w:r>
      <w:proofErr w:type="gramEnd"/>
      <w:r w:rsidRPr="009203C9">
        <w:rPr>
          <w:rFonts w:ascii="Times New Roman" w:hAnsi="Times New Roman" w:cs="Times New Roman"/>
          <w:sz w:val="24"/>
          <w:szCs w:val="24"/>
        </w:rPr>
        <w:t xml:space="preserve">2012130048/05, 06.07.2012,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опубл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 xml:space="preserve">. 27.07.2014, </w:t>
      </w:r>
      <w:proofErr w:type="spellStart"/>
      <w:r w:rsidRPr="009203C9">
        <w:rPr>
          <w:rFonts w:ascii="Times New Roman" w:hAnsi="Times New Roman" w:cs="Times New Roman"/>
          <w:sz w:val="24"/>
          <w:szCs w:val="24"/>
        </w:rPr>
        <w:t>бюл</w:t>
      </w:r>
      <w:proofErr w:type="spellEnd"/>
      <w:r w:rsidRPr="009203C9">
        <w:rPr>
          <w:rFonts w:ascii="Times New Roman" w:hAnsi="Times New Roman" w:cs="Times New Roman"/>
          <w:sz w:val="24"/>
          <w:szCs w:val="24"/>
        </w:rPr>
        <w:t>. № 21</w:t>
      </w:r>
    </w:p>
    <w:sectPr w:rsidR="005F2DDF" w:rsidRPr="009203C9" w:rsidSect="00671DB2">
      <w:footerReference w:type="default" r:id="rId12"/>
      <w:pgSz w:w="12240" w:h="15840"/>
      <w:pgMar w:top="1134" w:right="850" w:bottom="568" w:left="1701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157A" w:rsidRDefault="00F1157A" w:rsidP="00671DB2">
      <w:pPr>
        <w:spacing w:after="0" w:line="240" w:lineRule="auto"/>
      </w:pPr>
      <w:r>
        <w:separator/>
      </w:r>
    </w:p>
  </w:endnote>
  <w:endnote w:type="continuationSeparator" w:id="0">
    <w:p w:rsidR="00F1157A" w:rsidRDefault="00F1157A" w:rsidP="00671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4"/>
        <w:szCs w:val="24"/>
      </w:rPr>
      <w:id w:val="1811748781"/>
      <w:docPartObj>
        <w:docPartGallery w:val="Page Numbers (Bottom of Page)"/>
        <w:docPartUnique/>
      </w:docPartObj>
    </w:sdtPr>
    <w:sdtContent>
      <w:p w:rsidR="00671DB2" w:rsidRPr="00671DB2" w:rsidRDefault="00671DB2">
        <w:pPr>
          <w:pStyle w:val="a6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71DB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71DB2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71DB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227B5">
          <w:rPr>
            <w:rFonts w:ascii="Times New Roman" w:hAnsi="Times New Roman" w:cs="Times New Roman"/>
            <w:noProof/>
            <w:sz w:val="24"/>
            <w:szCs w:val="24"/>
          </w:rPr>
          <w:t>7</w:t>
        </w:r>
        <w:r w:rsidRPr="00671DB2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671DB2" w:rsidRDefault="00671DB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157A" w:rsidRDefault="00F1157A" w:rsidP="00671DB2">
      <w:pPr>
        <w:spacing w:after="0" w:line="240" w:lineRule="auto"/>
      </w:pPr>
      <w:r>
        <w:separator/>
      </w:r>
    </w:p>
  </w:footnote>
  <w:footnote w:type="continuationSeparator" w:id="0">
    <w:p w:rsidR="00F1157A" w:rsidRDefault="00F1157A" w:rsidP="00671D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1C3ECB00"/>
    <w:lvl w:ilvl="0">
      <w:numFmt w:val="bullet"/>
      <w:lvlText w:val="*"/>
      <w:lvlJc w:val="left"/>
    </w:lvl>
  </w:abstractNum>
  <w:abstractNum w:abstractNumId="1" w15:restartNumberingAfterBreak="0">
    <w:nsid w:val="0B946790"/>
    <w:multiLevelType w:val="hybridMultilevel"/>
    <w:tmpl w:val="752A3BD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33185464"/>
    <w:multiLevelType w:val="hybridMultilevel"/>
    <w:tmpl w:val="99A6083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909"/>
    <w:rsid w:val="00307E4A"/>
    <w:rsid w:val="00357334"/>
    <w:rsid w:val="003E00E2"/>
    <w:rsid w:val="004B7BA6"/>
    <w:rsid w:val="004C5791"/>
    <w:rsid w:val="005227B5"/>
    <w:rsid w:val="005B5909"/>
    <w:rsid w:val="005F2DDF"/>
    <w:rsid w:val="00671DB2"/>
    <w:rsid w:val="007902D6"/>
    <w:rsid w:val="0081430B"/>
    <w:rsid w:val="008A7E02"/>
    <w:rsid w:val="009203C9"/>
    <w:rsid w:val="0092252B"/>
    <w:rsid w:val="009346D0"/>
    <w:rsid w:val="009E72E2"/>
    <w:rsid w:val="00BF58B0"/>
    <w:rsid w:val="00C35088"/>
    <w:rsid w:val="00DF7C8E"/>
    <w:rsid w:val="00F1157A"/>
    <w:rsid w:val="00F2261D"/>
    <w:rsid w:val="00F42D68"/>
    <w:rsid w:val="00FE6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1FE4D8D"/>
  <w14:defaultImageDpi w14:val="0"/>
  <w15:docId w15:val="{5AB5899A-CD2B-492F-BDA5-654728EF5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A7E02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71D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71DB2"/>
  </w:style>
  <w:style w:type="paragraph" w:styleId="a6">
    <w:name w:val="footer"/>
    <w:basedOn w:val="a"/>
    <w:link w:val="a7"/>
    <w:uiPriority w:val="99"/>
    <w:unhideWhenUsed/>
    <w:rsid w:val="00671D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71DB2"/>
  </w:style>
  <w:style w:type="paragraph" w:styleId="a8">
    <w:name w:val="Balloon Text"/>
    <w:basedOn w:val="a"/>
    <w:link w:val="a9"/>
    <w:uiPriority w:val="99"/>
    <w:semiHidden/>
    <w:unhideWhenUsed/>
    <w:rsid w:val="005227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5227B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24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7</Pages>
  <Words>1775</Words>
  <Characters>10118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Цыганова В.Д.</dc:creator>
  <cp:keywords/>
  <dc:description/>
  <cp:lastModifiedBy>Цыганова В.Д.</cp:lastModifiedBy>
  <cp:revision>16</cp:revision>
  <cp:lastPrinted>2018-09-25T00:45:00Z</cp:lastPrinted>
  <dcterms:created xsi:type="dcterms:W3CDTF">2018-09-24T22:52:00Z</dcterms:created>
  <dcterms:modified xsi:type="dcterms:W3CDTF">2018-09-25T00:45:00Z</dcterms:modified>
</cp:coreProperties>
</file>